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4qlp56h67ewu" w:id="0"/>
      <w:bookmarkEnd w:id="0"/>
      <w:r w:rsidDel="00000000" w:rsidR="00000000" w:rsidRPr="00000000">
        <w:rPr>
          <w:b w:val="1"/>
          <w:rtl w:val="0"/>
        </w:rPr>
        <w:t xml:space="preserve">Diabetic Foot Ulcer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Indicate the correct answer.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risk factor for a diabetic ulcer?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Mobility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Neuropathy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Nutrition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Incontinence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completing an assessment, what location would you most likely find a diabetic foot ulcer?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Bridge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Ankle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Heel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Toenail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complication of diabetic foot ulcers?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Infection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Callus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Bunion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Deformity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using the clock method to document location on a foot, what time represents the toes?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12 o’clock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o’clock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 o’clock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 o’clock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educational topics would be included in a teaching on diabetic foot care?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assess the feet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Walking barefoot safely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Importance of having calloused feet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Selecting slippers instead of shoes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